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SächsPRG (Sachsen)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des Artikels 3 des Gesetzes zum Fünften Staatsvertrag zur Änderung rundfunkrechtlicher Staatsverträge und zur Änderung des Sächsischen Privatrundfunkgesetzes vom 12. Dezember 2000 (SächsGVBl. S. 526, 528) wird nachstehend der Wortlaut des Gesetzes über den privaten Rundfunk und neue Medien in Sachsen (Sächsisches Privatrundfunkgesetz – SächsPRG) in der vom 1. Januar 2001 an geltenden Fassung bekannt gemacht. Die Neufassung berücksichtigt:</w:t>
      </w:r>
    </w:p>
    <w:p>
      <w:r>
        <w:t xml:space="preserve">1. das Gesetz zur Ausführung des § 305 der Insolvenzordnung und zur Anpassung des Landesrechts an die Insolvenzordnung vom 10. Dezember 1998 (SächsGVBl. S. 662),</w:t>
      </w:r>
    </w:p>
    <w:p>
      <w:r>
        <w:t xml:space="preserve">2. das Vierte Gesetz zur Änderung des Gesetzes über den privaten Rundfunk und neue Medien in Sachsen vom 17. Mai 1999 (SächsGVBl. S. 246),</w:t>
      </w:r>
    </w:p>
    <w:p>
      <w:r>
        <w:t xml:space="preserve">3. das Gesetz zum Vierten Staatsvertrag zur Änderung rundfunkrechtlicher Staatsverträge vom 16. März 2000 (SächsGVBl. S. 89),</w:t>
      </w:r>
    </w:p>
    <w:p>
      <w:r>
        <w:t xml:space="preserve">4. den Artikel 2 des eingangs genannten Gesetzes.</w:t>
      </w:r>
    </w:p>
    <w:p>
      <w:r>
        <w:t xml:space="preserve">Dresden, den 9. Januar 2001</w:t>
      </w:r>
    </w:p>
    <w:p>
      <w:r>
        <w:t xml:space="preserve">Der Chef der Staatskanzlei</w:t>
      </w:r>
    </w:p>
    <w:p>
      <w:r>
        <w:t xml:space="preserve">Dr. Thomas de Maizière</w:t>
      </w:r>
    </w:p>
    <w:p>
      <w:r>
        <w:rPr>
          <w:color w:val="555555"/>
          <w:sz w:val="17"/>
        </w:rPr>
        <w:t xml:space="preserve">Zitiervorschlag: Eingangsformel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