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SächsPRG (Sachsen) — Vermeidung vorherrschender Meinungsmacht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Antragsteller, der im Fall einer Erteilung der Erlaubnis an ihn jeweils der einzige Veranstalter privaten Rechts von Hörfunk oder Fernsehen in Sachsen sein würde, muss nach seinem Programmschema, nach seinen Programmgrundsätzen und nach der Organisation der Programmgestaltung, insbesondere durch Bildung eines Programmbeirats aus Vertretern der in Sachsen vorhandenen wesentlichen Meinungsrichtungen, die Gewähr dafür bieten, dass in seinem Programm die bedeutsamen politischen, weltanschaulichen und gesellschaftlichen Kräfte und Gruppen angemessen zu Wort kommen. Satz 1 ist nicht anzuwenden, wenn es sich bei dem Veranstalter um eine Gesellschaft oder um eine nicht rechtsfähige Vereinigung des Privatrechts handelt, wenn dieser Gesellschaft oder Vereinigung mehrere Personen angehören und wenn durch Vertrag oder Satzung ein vorherrschender Einfluss einer dieser Personen auf den Inhalt des Programms ausgeschlossen ist.</w:t>
      </w:r>
    </w:p>
    <w:p>
      <w:r>
        <w:t xml:space="preserve">(2) Lokale oder regionale Programme oder Fensterprogramme sollen grundsätzlich nicht zu mehr als einem Drittel von einem Unternehmen gestaltet oder zugeliefert werden, das für das Sendegebiet bestimmte periodisch erscheinende Druckwerke mit einem Anteil von mehr als 20 vom Hundert der Gesamtauflage aller für diesen Bereich bestimmten periodisch erscheinenden Druckwerke verlegt. Dieselbe Beschränkung gilt auch für ein Unternehmen, das zu einem Unternehmen nach Satz 1 im Verhältnis eines abhängigen oder herrschenden Unternehmens oder eines Konzernunternehmens im Sinn des Aktienrechts steht; wirken mehrere Unternehmen aufgrund einer Vereinbarung oder in sonstiger Weise derart zusammen, dass sie gemeinsam einen beherrschenden Einfluss auf ein Unternehmen nach Satz 1 ausüben können, so gilt jedes von ihnen als herrschendes Unternehmen. Die Landesanstalt kann in begründeten Ausnahmefällen einen anderen Anteil vorsehen.</w:t>
      </w:r>
    </w:p>
    <w:p>
      <w:r>
        <w:t xml:space="preserve">(3) Der Antragsteller hat der Landesanstalt nachzuweisen, dass neben den Zulassungsvoraussetzungen Vorschriften der wettbewerbsrechtlichen Zusammenschlusskontrolle seiner beantragten Rundfunktätigkeit nicht entgegenstehen.</w:t>
      </w:r>
    </w:p>
    <w:p>
      <w:r>
        <w:rPr>
          <w:color w:val="555555"/>
          <w:sz w:val="17"/>
        </w:rPr>
        <w:t xml:space="preserve">Zitiervorschlag: § 8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