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SächsPRG (Sachsen) — Übergangsbestimmungen</w:t>
      </w:r>
    </w:p>
    <w:p>
      <w:r>
        <w:rPr>
          <w:color w:val="555555"/>
          <w:sz w:val="18"/>
        </w:rPr>
        <w:t xml:space="preserve">Sächsisches Privatrundfunkgesetz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aufgehoben</w:t>
      </w:r>
    </w:p>
    <w:p>
      <w:r>
        <w:t xml:space="preserve">(2) aufgehoben</w:t>
      </w:r>
    </w:p>
    <w:p>
      <w:r>
        <w:t xml:space="preserve">(3) aufgehoben</w:t>
      </w:r>
    </w:p>
    <w:p>
      <w:r>
        <w:t xml:space="preserve">(4) aufgehoben</w:t>
      </w:r>
    </w:p>
    <w:p>
      <w:r>
        <w:t xml:space="preserve">(5) Die erstmalige Wahl einer Geschäftsführung mit beschränkter Amtszeit nach § 33 Absatz 1 Satz 2 hat bis zum 31. Dezember 2027 zu erfolgen.</w:t>
      </w:r>
    </w:p>
    <w:p>
      <w:r>
        <w:rPr>
          <w:color w:val="555555"/>
          <w:sz w:val="17"/>
        </w:rPr>
        <w:t xml:space="preserve">Zitiervorschlag: § 46 SächsPRG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https://recht.nulegal.eu/gesetze/S%C3%A4chsPRG/46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