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SächsPRG (Sachsen) — Ordnungswidrigkeiten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5 Absatz 1 Satz 1 Rundfunk ohne Zulassung nach § 11 veranstaltet und verbreitet,</w:t>
      </w:r>
    </w:p>
    <w:p>
      <w:r>
        <w:t xml:space="preserve">2. Sendungen entgegen § 14 verbreitet, die unzulässig sind, weil sie gegen die Vorschriften des Medienstaatsvertrages oder des Jugendmedienschutz-Staatsvertrages in der jeweils geltenden Fassung über unzulässige Sendungen und den Jugendschutz verstoßen,</w:t>
      </w:r>
    </w:p>
    <w:p>
      <w:r>
        <w:t xml:space="preserve">2a. entgegen § 17 Absatz 1 Programme in Ton und Bild nicht vollständig aufzeichnet und die Aufzeichnungen nicht mindestens bis zum Ablauf der in § 17 Absatz 2 Satz 1 genannten Frist verfügbar hält oder die Aufzeichnungen entgegen § 17 Absatz 2 Satz 1 oder Absatz 4 vorzeitig löscht,</w:t>
      </w:r>
    </w:p>
    <w:p>
      <w:r>
        <w:t xml:space="preserve">3. entgegen § 20 Absatz 1 die dort genannten Informationen im Rahmen des Gesamtangebots nicht leicht, unmittelbar und ständig zugänglich macht,</w:t>
      </w:r>
    </w:p>
    <w:p>
      <w:r>
        <w:t xml:space="preserve">4. entgegen § 20 Absatz 1 zu Beginn oder am Ende des Programms den Namen des Rundfunkveranstalters oder am Ende jeder Sendung den Namen der für den Inhalt verantwortlichen Person (Redakteurin oder Redakteur) nicht angibt,</w:t>
      </w:r>
    </w:p>
    <w:p>
      <w:r>
        <w:t xml:space="preserve">5. als Rundfunkveranstalter entgegen § 20 Absatz 3 auf schriftliches Verlangen nicht Namen und Anschrift der für den Inhalt des Programms Verantwortlichen sowie der für den Inhalt einer Sendung verantwortlichen Person (Redakteurin oder Redakteur) mitteilt,</w:t>
      </w:r>
    </w:p>
    <w:p>
      <w:r>
        <w:t xml:space="preserve">6. als Rundfunkveranstalter nicht bundesweit ausgerichteten privaten Rundfunks die Tatbestände des § 115 Absatz 1 Satz 1 Nummern 3 bis 15 des Medienstaatsvertrages verwirklicht,</w:t>
      </w:r>
    </w:p>
    <w:p>
      <w:r>
        <w:t xml:space="preserve">7. entgegen § 37 Absatz 2 der Landesanstalt nicht unverzüglich die zur Erfüllung ihrer Aufgaben erforderlichen Auskünfte erteilt und entsprechende Unterlagen vorlegt,</w:t>
      </w:r>
    </w:p>
    <w:p>
      <w:r>
        <w:t xml:space="preserve">8. entgegen § 38 Absatz 1 die Programme nicht oder nicht im Rahmen der Kapazität einspeist,</w:t>
      </w:r>
    </w:p>
    <w:p>
      <w:r>
        <w:t xml:space="preserve">9. entgegen § 38 Absatz 3 Satz 1 die dort genannten Kriterien nicht oder nicht vollständig berücksichtigt,</w:t>
      </w:r>
    </w:p>
    <w:p>
      <w:r>
        <w:t xml:space="preserve">10. entgegen § 38 Absatz 5 Entgelte oder Tarife gegenüber der Landesanstalt nicht offen legt oder die regionalen und lokalen Programme benachteiligt,</w:t>
      </w:r>
    </w:p>
    <w:p>
      <w:r>
        <w:t xml:space="preserve">11. im Falle von § 38 Absatz 5 Satz 5 die verlangten Unterlagen nicht oder nicht vollständig vorlegt,</w:t>
      </w:r>
    </w:p>
    <w:p>
      <w:r>
        <w:t xml:space="preserve">12. entgegen § 38 Absatz 6 Satz 1 seine Anlage im Rahmen der Kapazität nicht so einrichtet, dass jeder Inhaber eines Anschlusses im analogen Betrieb die in § 38 Absatz 1 genannten sowie die nach den Kriterien des § 38 Absatz 2 einzuspeisenden und im digitalen Betrieb die in § 38 Absatz 3 genannten Programme und vergleichbaren Telemedien empfangen kann,</w:t>
      </w:r>
    </w:p>
    <w:p>
      <w:r>
        <w:t xml:space="preserve">13. als Rundfunkveranstalter entgegen § 39 Absatz 1 der Landesanstalt die zur Wahrnehmung ihrer Aufgaben erforderlichen Auskünfte nicht erteilt und Programmaufzeichnungen und Unterlagen nicht oder nicht kostenlos vorlegt.</w:t>
      </w:r>
    </w:p>
    <w:p>
      <w:r>
        <w:t xml:space="preserve">(2) Die Ordnungswidrigkeit kann mit einer Geldbuße bis zu 500 000 EUR geahndet werden.</w:t>
      </w:r>
    </w:p>
    <w:p>
      <w:r>
        <w:t xml:space="preserve">(3) Die Landesanstalt ist zuständige Verwaltungsbehörde im Sinne des § 36 Absatz 1 Nr. 1 des Gesetzes über Ordnungswidrigkeiten .</w:t>
      </w:r>
    </w:p>
    <w:p>
      <w:r>
        <w:rPr>
          <w:color w:val="555555"/>
          <w:sz w:val="17"/>
        </w:rPr>
        <w:t xml:space="preserve">Zitiervorschlag: § 43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