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SächsPRG (Sachsen) — Rücknahme von Zulassung und Zuweisung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Zulassung ist zurückzunehmen, wenn</w:t>
      </w:r>
    </w:p>
    <w:p>
      <w:r>
        <w:t xml:space="preserve">1. der Veranstalter sie durch Täuschung, Drohung oder durch sonstige rechtswidrige Mittel erlangt hat,</w:t>
      </w:r>
    </w:p>
    <w:p>
      <w:r>
        <w:t xml:space="preserve">2. die Voraussetzungen für die Zulassung im Zeitpunkt der Zulassungsentscheidung nicht vorgelegen haben und auch nach Aufforderung nicht erfüllt werden.</w:t>
      </w:r>
    </w:p>
    <w:p>
      <w:r>
        <w:t xml:space="preserve">(2) Absatz 1 gilt für die Rücknahme von Zuweisungen gegenüber Rundfunkveranstaltern sowie Anbietern von Telemedien entsprechend.</w:t>
      </w:r>
    </w:p>
    <w:p>
      <w:r>
        <w:rPr>
          <w:color w:val="555555"/>
          <w:sz w:val="17"/>
        </w:rPr>
        <w:t xml:space="preserve">Zitiervorschlag: § 40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