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SächsPRG (Sachsen) — Aufsicht über die Landesanstalt</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Landesanstalt unterliegt der Rechtsaufsicht der Sächsischen Staatskanzlei, die sich nicht auf Programmangelegenheiten erstreckt.</w:t>
      </w:r>
    </w:p>
    <w:p>
      <w:r>
        <w:t xml:space="preserve">(2) Die Landesanstalt hat der Rechtsaufsichtsbehörde die zur Wahrnehmung der Rechtsaufsicht erforderlichen Auskünfte zu erteilen und entsprechende Unterlagen vorzulegen. Die Rechtsaufsichtsbehörde kann die Landesanstalt schriftlich auf Maßnahmen oder Unterlassungen hinweisen, die dieses Gesetz oder die allgemeinen Rechtsvorschriften verletzen, und sie auffordern, die Rechtsverletzung innerhalb einer bestimmten Frist zu beseitigen und künftig zu unterlassen. Wird die Rechtsverletzung nicht innerhalb der bestimmten Frist behoben, so weist die Rechtsaufsichtsbehörde die Landesanstalt an, auf deren Kosten die im einzelnen festzulegenden Maßnahmen durchzuführen.</w:t>
      </w:r>
    </w:p>
    <w:p>
      <w:r>
        <w:rPr>
          <w:color w:val="555555"/>
          <w:sz w:val="17"/>
        </w:rPr>
        <w:t xml:space="preserve">Zitiervorschlag: § 36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