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28b SächsPRG (Sachsen) — Förderung lokaljournalistischer Angebote</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Mit der Förderung lokaljournalistischer Angebote nach § 28 Absatz 1 Satz 2 Nummer 20 soll ein möglichst flächendeckendes, vielfältiges und qualitätsvolles Nachrichten- und Informationsangebot mit engem Bezug zum lokalen und regionalen Geschehen im Freistaat Sachsen unterstützt werden. Gefördert werden sollen neben bestehenden lokaljournalistischen Angeboten auch innovative Projekte zur Entwicklung nachhaltiger Geschäfts- und Kooperationsmodelle sowie neuer journalistischer Produktionsformen und digitaler Formate unabhängig von der Rechtsform sowie plattformunabhängig, soweit nicht durch die Landesanstalt selbst die Förderung erfolgt. Alle zwei Jahre, beginnend mit dem erstmaligen Erhalt von Haushaltsmitteln oder Mitteln Dritter, evaluiert die Landesanstalt die Auswirkungen der Fördermaßnahmen mit Blick auf die Zielsetzung nach Satz 1 und veröffentlicht die Evaluierung.</w:t>
      </w:r>
    </w:p>
    <w:p>
      <w:r>
        <w:t xml:space="preserve">(2) Soweit Haushaltsmittel zur Förderung nach § 28 Absatz 1 Satz 2 Nummer 20 zur Verfügung gestellt werden, erhält die Landesanstalt als Erstempfänger eine Zuwendung. Über die Art der Förderung im Einzelnen und über die Vergabe der Mittel entscheidet die Landesanstalt. Dabei ist sicherzustellen, dass die Ziele nach Absatz 1 jeweils mit dem geringsten Aufwand erreicht werden. Rechtsansprüche auf finanzielle oder sonstige Fördermaßnahmen werden nicht begründet.</w:t>
      </w:r>
    </w:p>
    <w:p>
      <w:r>
        <w:t xml:space="preserve">(3) Die lokaljournalistischen Angebote nach Absatz 1 können nach Maßgabe der folgenden Regelungen von der Landesanstalt gefördert werden:</w:t>
      </w:r>
    </w:p>
    <w:p>
      <w:r>
        <w:t xml:space="preserve">1. Medienanbieter werden verpflichtet, ein aktuelles, regelmäßiges und authentisches Nachrichten- und Informationsangebot herzustellen und zu verbreiten. Das Angebot muss den Kommunikationsinteressen der Nutzerinnen und Nutzer in dem jeweiligen Versorgungsgebiet dienen.</w:t>
      </w:r>
    </w:p>
    <w:p>
      <w:r>
        <w:t xml:space="preserve">2. Die Förderung ist zu befristen. Maßgeblich hierfür ist insbesondere die gesetzliche Befristung der Verfügbarkeit von Mitteln aus dem Staatshaushalt.</w:t>
      </w:r>
    </w:p>
    <w:p>
      <w:r>
        <w:rPr>
          <w:color w:val="555555"/>
          <w:sz w:val="17"/>
        </w:rPr>
        <w:t xml:space="preserve">Zitiervorschlag: § 28b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https://recht.nulegal.eu/gesetze/S%C3%A4chsPRG/28b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