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SächsPRG (Sachsen) — Rechtsform und Organe</w:t>
      </w:r>
    </w:p>
    <w:p>
      <w:r>
        <w:rPr>
          <w:color w:val="555555"/>
          <w:sz w:val="18"/>
        </w:rPr>
        <w:t xml:space="preserve">Sächsisches Privatrundfunkgesetz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 nach diesem Gesetz werden von der Landesanstalt wahrgenommen. Sie ist eine rechtsfähige Anstalt des öffentlichen Rechts und hat ihren Sitz in Leipzig.</w:t>
      </w:r>
    </w:p>
    <w:p>
      <w:r>
        <w:t xml:space="preserve">(2) Die Landesanstalt ist unabhängig und hat das Recht der Selbstverwaltung. Ein Insolvenzverfahren über das Vermögen der Landesanstalt findet nicht statt.</w:t>
      </w:r>
    </w:p>
    <w:p>
      <w:r>
        <w:t xml:space="preserve">(3) Organe der Landesanstalt sind</w:t>
      </w:r>
    </w:p>
    <w:p>
      <w:r>
        <w:t xml:space="preserve">1. die Versammlung,</w:t>
      </w:r>
    </w:p>
    <w:p>
      <w:r>
        <w:t xml:space="preserve">2. der Medienrat.</w:t>
      </w:r>
    </w:p>
    <w:p>
      <w:r>
        <w:rPr>
          <w:color w:val="555555"/>
          <w:sz w:val="17"/>
        </w:rPr>
        <w:t xml:space="preserve">Zitiervorschlag: § 27 SächsPRG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https://recht.nulegal.eu/gesetze/S%C3%A4chsPRG/27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