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SächsPRG (Sachsen) — Weitere Rundfunknutzung</w:t>
      </w:r>
    </w:p>
    <w:p>
      <w:r>
        <w:rPr>
          <w:color w:val="555555"/>
          <w:sz w:val="18"/>
        </w:rPr>
        <w:t xml:space="preserve">Sächsisches Privatrundfunkgesetz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Dem Veranstalter eines Rundfunkprogramms steht auch die Nutzung der horizontalen und vertikalen Austastlücke des Fernsehsignals oder der RDS-Unterträger zur Veranstaltung von Textdiensten zu.</w:t>
      </w:r>
    </w:p>
    <w:p>
      <w:r>
        <w:rPr>
          <w:color w:val="555555"/>
          <w:sz w:val="17"/>
        </w:rPr>
        <w:t xml:space="preserve">Zitiervorschlag: § 25 SächsPRG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https://recht.nulegal.eu/gesetze/S%C3%A4chsPRG/25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