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SächsPRG (Sachsen) — Besondere Sendezeiten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Politische Parteien, Wählervereinigungen und Einzelbewerber erhalten während ihrer Beteiligung an Wahlen angemessene Sendezeit entsprechend § 5 Abs. 1 bis 3 des Parteiengesetzes in der Fassung der Bekanntmachung vom 31. Januar 1994 (BGBl. I S. 149), das zuletzt durch Artikel 5a des Gesetzes vom 24. September 2009 (BGBl. I S. 3145, 3147) geändert worden ist, in der jeweils geltenden Fassung, für Wahlwerbung. Bei Gemeinde- und Kreiswahlen gilt Satz 1 nur für Wahlwerbung in Rundfunkprogrammen, die nicht landesweit verbreitet werden. Bei einer Kostenerstattung muss eine Gleichbehandlung gemäß dem Umfang der jeweiligen Sendungen erfolgen.</w:t>
      </w:r>
    </w:p>
    <w:p>
      <w:r>
        <w:t xml:space="preserve">(2) Für Sendungen von Kirchen und anderen im Sendegebiet vertretenen öffentlich-rechtlichen Religionsgemeinschaften im Sinn von Artikel 140 des Grundgesetzes für die Bundesrepublik Deutschland sind auf Wunsch angemessene Sendezeiten zur Übertragung gottesdienstlicher Handlungen und Feierlichkeiten einzuräumen; auch für sonstige religiöse Sendungen können Sendezeiten gewährt werden. Die Rundfunkveranstalter können die Erstattung ihrer Selbstkosten verlangen.</w:t>
      </w:r>
    </w:p>
    <w:p>
      <w:r>
        <w:t xml:space="preserve">(3) Für den Inhalt und Gestaltung zulässiger Sendungen nach den Absätzen 1 und 2 ist derjenige verantwortlich, dem die Sendezeit eingeräumt worden ist.</w:t>
      </w:r>
    </w:p>
    <w:p>
      <w:r>
        <w:t xml:space="preserve">(4) Die Landesanstalt kann Einzelheiten der Beanspruchung besonderer Sendezeiten für Wahlwerbung durch Satzung regeln.</w:t>
      </w:r>
    </w:p>
    <w:p>
      <w:r>
        <w:rPr>
          <w:color w:val="555555"/>
          <w:sz w:val="17"/>
        </w:rPr>
        <w:t xml:space="preserve">Zitiervorschlag: § 22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