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SächsPRG (Sachsen) — Verantwortlichkeit für das Programm</w:t>
      </w:r>
    </w:p>
    <w:p>
      <w:r>
        <w:rPr>
          <w:color w:val="555555"/>
          <w:sz w:val="18"/>
        </w:rPr>
        <w:t xml:space="preserve">Sächsisches Privatrundfunkgesetz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Ein Rundfunkveranstalter muss mindestens eine für den Inhalt des Programms verantwortliche Person bestellen, die zur alleinigen Entscheidung berechtigt ist. Werden mehrere Verantwortliche bestellt, nehmen sie ihre Aufgaben gemeinsam wahr.</w:t>
      </w:r>
    </w:p>
    <w:p>
      <w:r>
        <w:t xml:space="preserve">(2) Zur verantwortlichen Person darf nur bestellt werden, wer die Voraussetzungen entsprechend § 6 Abs. 2 Satz 1 Nr. 1 bis 3 erfüllt und ihre oder seine Wohnung oder ihren oder seinen Geschäftssitz im Sendegebiet des Programms hat.</w:t>
      </w:r>
    </w:p>
    <w:p>
      <w:r>
        <w:rPr>
          <w:color w:val="555555"/>
          <w:sz w:val="17"/>
        </w:rPr>
        <w:t xml:space="preserve">Zitiervorschlag: § 16 SächsPRG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https://recht.nulegal.eu/gesetze/S%C3%A4chsPRG/16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