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11a SächsPRG (Sachsen) — Inhalt und Umfang der Zuweisung</w:t>
      </w:r>
    </w:p>
    <w:p>
      <w:r>
        <w:rPr>
          <w:color w:val="555555"/>
          <w:sz w:val="18"/>
        </w:rPr>
        <w:t xml:space="preserve">Sächsisches Privatrundfunkgesetz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Zuweisung einer Übertragungskapazität bestimmt mindestens</w:t>
      </w:r>
    </w:p>
    <w:p>
      <w:r>
        <w:t xml:space="preserve">1. das Verbreitungsgebiet,</w:t>
      </w:r>
    </w:p>
    <w:p>
      <w:r>
        <w:t xml:space="preserve">2. die zugeordnete Übertragungskapazität.</w:t>
      </w:r>
    </w:p>
    <w:p>
      <w:r>
        <w:t xml:space="preserve">(2) Die Zuweisung erfolgt für die Dauer von mindestens acht Jahren und höchstens zehn Jahren und kann um jeweils höchstens acht Jahre verlängert werden.</w:t>
      </w:r>
    </w:p>
    <w:p>
      <w:r>
        <w:t xml:space="preserve">(3) Die Zuweisung ist nicht übertragbar.</w:t>
      </w:r>
    </w:p>
    <w:p>
      <w:r>
        <w:rPr>
          <w:color w:val="555555"/>
          <w:sz w:val="17"/>
        </w:rPr>
        <w:t xml:space="preserve">Zitiervorschlag: § 11a SächsPRG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https://recht.nulegal.eu/gesetze/S%C3%A4chsPRG/11a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