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SächsOWiG (Sachsen)</w:t>
      </w:r>
    </w:p>
    <w:p>
      <w:r>
        <w:rPr>
          <w:color w:val="555555"/>
          <w:sz w:val="18"/>
        </w:rPr>
        <w:t xml:space="preserve">Sächsisches Ordnungswidrigkeitengesetz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Sächsische Landtag hat am 16. Dezember 1993 das folgende Gesetz beschlossen:</w:t>
      </w:r>
    </w:p>
    <w:p>
      <w:r>
        <w:rPr>
          <w:color w:val="555555"/>
          <w:sz w:val="17"/>
        </w:rPr>
        <w:t xml:space="preserve">Zitiervorschlag: Eingangsformel SächsOWiG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https://recht.nulegal.eu/gesetze/S%C3%A4chsOWiG/eingangsformel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