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SächsOWiG (Sachsen) — Erstattung von Auslagen</w:t>
      </w:r>
    </w:p>
    <w:p>
      <w:r>
        <w:rPr>
          <w:color w:val="555555"/>
          <w:sz w:val="18"/>
        </w:rPr>
        <w:t xml:space="preserve">Sächsisches Ordnungswidrigkeitengesetz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Geldbeträge, die eine der am Bußgeldverfahren beteiligten Stellen nach § 107 Abs. 3 Nr. 10 und 11 OWiG oder nach Nummern 1911 und 1912 des Kostenverzeichnisses der Anlage 1 des Gerichtskostengesetzes als Auslagen erhebt, werden zwischen dem Freistaat Sachsen und der juristischen Person des öffentlichen Rechts, deren Behörde, Organ oder Stelle das Bußgeldverfahren durchführt, nicht erstattet.</w:t>
      </w:r>
    </w:p>
    <w:p>
      <w:r>
        <w:rPr>
          <w:color w:val="555555"/>
          <w:sz w:val="17"/>
        </w:rPr>
        <w:t xml:space="preserve">Zitiervorschlag: § 5 SächsOWiG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https://recht.nulegal.eu/gesetze/S%C3%A4chsOWiG/5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SächsOWiG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