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SächsOWiG (Sachsen) — Notwendige Auslagen</w:t>
      </w:r>
    </w:p>
    <w:p>
      <w:r>
        <w:rPr>
          <w:color w:val="555555"/>
          <w:sz w:val="18"/>
        </w:rPr>
        <w:t xml:space="preserve">Sächsisches Ordnungswidrigkeitengesetz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Notwendige Auslagen nach § 105 Abs. 2 OWiG trägt die juristische Person des öffentlichen Rechts, deren Behörde, Organ oder Stelle das Bußgeldverfahren durchgeführt hat. Die Auslagen sind den in Satz 1 genannten juristischen Personen unmittelbar aufzuerlegen.</w:t>
      </w:r>
    </w:p>
    <w:p>
      <w:r>
        <w:rPr>
          <w:color w:val="555555"/>
          <w:sz w:val="17"/>
        </w:rPr>
        <w:t xml:space="preserve">Zitiervorschlag: § 4 SächsOWiG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https://recht.nulegal.eu/gesetze/S%C3%A4chsOWiG/4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SächsOWiG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