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SächsOWiG (Sachsen) — Verbleib der Geldbußen und Verwarnungsgelder</w:t>
      </w:r>
    </w:p>
    <w:p>
      <w:r>
        <w:rPr>
          <w:color w:val="555555"/>
          <w:sz w:val="18"/>
        </w:rPr>
        <w:t xml:space="preserve">Sächsisches Ordnungswidrigkeitengesetz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Geldbußen, die durch rechtskräftige Bescheide einer juristischen Person des öffentlichen Rechts festgesetzt worden sind, fließen in deren Kassen. Satz 1 gilt für Verwarnungsgelder, die nach § 56 und § 57 Abs. 2 des Gesetzes über Ordnungswidrigkeiten ( OWiG ) in der Fassung der Bekanntmachung vom 19. Februar 1987 (BGBl. I S. 602), zuletzt geändert durch Gesetz vom 15. Juli 1992 (BGBl. I S. 1302), erhoben werden, und für Nebenfolgen, die zu einer Geldzahlung verpflichten, entsprechend.</w:t>
      </w:r>
    </w:p>
    <w:p>
      <w:r>
        <w:t xml:space="preserve">(2) Verwarnungsgelder, die von Beamten des Polizeivollzugsdienstes festgesetzt werden und deren Einzug den Bußgeldbehörden überlassen wird, fließen in die Kassen dieser Behörden.</w:t>
      </w:r>
    </w:p>
    <w:p>
      <w:r>
        <w:rPr>
          <w:color w:val="555555"/>
          <w:sz w:val="17"/>
        </w:rPr>
        <w:t xml:space="preserve">Zitiervorschlag: § 2 SächsOWiG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https://recht.nulegal.eu/gesetze/S%C3%A4chsOWiG/2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