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Eingangsformel SächsNSG (Sachsen)</w:t>
      </w:r>
    </w:p>
    <w:p>
      <w:r>
        <w:rPr>
          <w:color w:val="555555"/>
          <w:sz w:val="18"/>
        </w:rPr>
        <w:t xml:space="preserve">Sächsisches Nichtraucherschutzgesetz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Sächsische Landtag hat am 26. September 2007 das folgende Gesetz beschlossen:</w:t>
      </w:r>
    </w:p>
    <w:p>
      <w:r>
        <w:rPr>
          <w:color w:val="555555"/>
          <w:sz w:val="17"/>
        </w:rPr>
        <w:t xml:space="preserve">Zitiervorschlag: Eingangsformel SächsNSG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https://recht.nulegal.eu/gesetze/S%C3%A4chsNSG/eingangsformel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sk.sachsen.de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Eingangsformel SächsNSG (Sachsen)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