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SächsNRG (Sachsen)</w:t>
      </w:r>
    </w:p>
    <w:p>
      <w:r>
        <w:rPr>
          <w:color w:val="555555"/>
          <w:sz w:val="18"/>
        </w:rPr>
        <w:t xml:space="preserve">Sächsisches Nachbarrechtsgesetz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4. Juli 2023</w:t>
      </w:r>
    </w:p>
    <w:p>
      <w:r>
        <w:rPr>
          <w:color w:val="555555"/>
          <w:sz w:val="17"/>
        </w:rPr>
        <w:t xml:space="preserve">Zitiervorschlag: Eingangsformel SächsNRG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https://recht.nulegal.eu/gesetze/S%C3%A4chsNRG/eingangsformel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