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SächsNRG (Sachsen) — Abstand von der Grenze</w:t>
      </w:r>
    </w:p>
    <w:p>
      <w:r>
        <w:rPr>
          <w:color w:val="555555"/>
          <w:sz w:val="18"/>
        </w:rPr>
        <w:t xml:space="preserve">Sächsisches Nachbarrechtsgesetz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Einfriedung muss von der Grenze eines landwirtschaftlich genutzten Grundstücks 0,6 Meter zurückbleiben, wenn beide Grundstücke außerhalb eines im Zusammenhang bebauten Ortsteils liegen und nicht in einem Bebauungsplan als Baugebiet ausgewiesen sind. Der Geländestreifen vor der Einfriedung darf bei der Bewirtschaftung des Grundstücks betreten und befahren werden.</w:t>
      </w:r>
    </w:p>
    <w:p>
      <w:r>
        <w:t xml:space="preserve">(2) Die Verpflichtung nach Absatz 1 erlischt, wenn eines der beiden Grundstücke Teil eines im Zusammenhang bebauten Ortsteils oder in einem Bebauungsplan als Bauland ausgewiesen wird.</w:t>
      </w:r>
    </w:p>
    <w:p>
      <w:r>
        <w:rPr>
          <w:color w:val="555555"/>
          <w:sz w:val="17"/>
        </w:rPr>
        <w:t xml:space="preserve">Zitiervorschlag: § 5 SächsNRG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https://recht.nulegal.eu/gesetze/S%C3%A4chsNRG/5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SächsNRG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