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SächsNRG (Sachsen) — Anschluss an andere Leitungen</w:t>
      </w:r>
    </w:p>
    <w:p>
      <w:r>
        <w:rPr>
          <w:color w:val="555555"/>
          <w:sz w:val="18"/>
        </w:rPr>
        <w:t xml:space="preserve">Sächsisches Nachbarrechtsgesetz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Bestimmungen dieses Abschnitts gelten entsprechend für</w:t>
      </w:r>
    </w:p>
    <w:p>
      <w:r>
        <w:t xml:space="preserve">1. Gas- und Elektrizitätsleitungen,</w:t>
      </w:r>
    </w:p>
    <w:p>
      <w:r>
        <w:t xml:space="preserve">2. Fernmeldelinien sowie</w:t>
      </w:r>
    </w:p>
    <w:p>
      <w:r>
        <w:t xml:space="preserve">3. Einrichtungen zur Versorgung mit Fernwärme, sofern die Person, die ihr Grundstück anschließen will, einem Anschlusszwang unterliegt.</w:t>
      </w:r>
    </w:p>
    <w:p>
      <w:r>
        <w:rPr>
          <w:color w:val="555555"/>
          <w:sz w:val="17"/>
        </w:rPr>
        <w:t xml:space="preserve">Zitiervorschlag: § 21 SächsNRG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https://recht.nulegal.eu/gesetze/S%C3%A4chsNRG/21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