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SächsMsZustG (Sachsen) — Inkrafttreten</w:t>
      </w:r>
    </w:p>
    <w:p>
      <w:r>
        <w:rPr>
          <w:color w:val="555555"/>
          <w:sz w:val="18"/>
        </w:rPr>
        <w:t xml:space="preserve">Sächsisches Mietspiegel-Zuständigkeitsgesetz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Dresden, den 15. Dezember 2022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Der Staatsminister für Regionalentwicklung</w:t>
      </w:r>
    </w:p>
    <w:p>
      <w:r>
        <w:t xml:space="preserve">Thomas Schmidt</w:t>
      </w:r>
    </w:p>
    <w:p>
      <w:r>
        <w:rPr>
          <w:color w:val="555555"/>
          <w:sz w:val="17"/>
        </w:rPr>
        <w:t xml:space="preserve">Zitiervorschlag: § 3 SächsMsZustG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https://recht.nulegal.eu/gesetze/S%C3%A4chsMsZustG/3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