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SächsMsZustG (Sachsen) — Mehrbelastungsausgleich</w:t>
      </w:r>
    </w:p>
    <w:p>
      <w:r>
        <w:rPr>
          <w:color w:val="555555"/>
          <w:sz w:val="18"/>
        </w:rPr>
        <w:t xml:space="preserve">Sächsisches Mietspiegel-Zuständigkeitsgesetz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Gemeinden durch dieses Gesetz zur Erstellung und Fortschreibung eines einfachen Mietspiegels verpflichtet werden und dies zu einer Mehrbelastung führt, erhalten sie vom Freistaat Sachsen einen entsprechenden finanziellen Ausgleich.</w:t>
      </w:r>
    </w:p>
    <w:p>
      <w:r>
        <w:t xml:space="preserve">(2) Die Höhe des finanziellen Ausgleichs nach Absatz 1 wird im Rahmen einer Verwaltungsvereinbarung zwischen dem Freistaat Sachsen, vertreten durch das Staatsministerium für Regionalentwicklung, und der jeweiligen Gemeinde bestimmt.</w:t>
      </w:r>
    </w:p>
    <w:p>
      <w:r>
        <w:rPr>
          <w:color w:val="555555"/>
          <w:sz w:val="17"/>
        </w:rPr>
        <w:t xml:space="preserve">Zitiervorschlag: § 2 SächsMsZustG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https://recht.nulegal.eu/gesetze/S%C3%A4chsMsZustG/2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