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SächsMinG (Sachsen) — Ruhen anderer Bezüge</w:t>
      </w:r>
    </w:p>
    <w:p>
      <w:r>
        <w:rPr>
          <w:color w:val="555555"/>
          <w:sz w:val="18"/>
        </w:rPr>
        <w:t xml:space="preserve">Sächsisches Ministergesetz</w:t>
      </w:r>
    </w:p>
    <w:p>
      <w:r>
        <w:rPr>
          <w:color w:val="555555"/>
          <w:sz w:val="18"/>
        </w:rPr>
        <w:t xml:space="preserve">Landesrecht Sachsen</w:t>
      </w:r>
    </w:p>
    <w:p>
      <w:r>
        <w:rPr>
          <w:color w:val="555555"/>
          <w:sz w:val="18"/>
        </w:rPr>
        <w:t xml:space="preserve">Stand: 27.08.2026 (konsolidierte Textfassung, kein amtliches Inkrafttretensdatum)</w:t>
      </w:r>
    </w:p>
    <w:p>
      <w:r>
        <w:t xml:space="preserve">Bezieht ein Mitglied der Staatsregierung für einen Zeitraum, für den ihm Amtsbezüge gewährt werden, ein Einkommen aus einer Verwendung im öffentlichen Dienst, so ruht der Anspruch auf Amtsgehalt und Familienzuschlag bis zur Höhe des Betrages dieses Einkommens.</w:t>
      </w:r>
    </w:p>
    <w:p>
      <w:r>
        <w:rPr>
          <w:color w:val="555555"/>
          <w:sz w:val="17"/>
        </w:rPr>
        <w:t xml:space="preserve">Zitiervorschlag: § 9 SächsMinG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https://recht.nulegal.eu/gesetze/S%C3%A4chsMinG/9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