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SächsMinG (Sachsen) — Übergangsregelungen</w:t>
      </w:r>
    </w:p>
    <w:p>
      <w:r>
        <w:rPr>
          <w:color w:val="555555"/>
          <w:sz w:val="18"/>
        </w:rPr>
        <w:t xml:space="preserve">Sächsisches Ministergesetz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Für Versorgungsfälle, in denen die Voraussetzungen des § 13 Absatz 1 vor dem In-Kraft-Treten der achten auf den 31. Dezember 2002 folgenden Anpassung der Versorgungsbezüge aus den Besoldungsgruppen 9 oder 11 der Bundesbesoldungsordnung B nach § 70 des Beamtenversorgungsgesetzes in der am 31. Oktober 2007 geltenden Fassung oder der Besoldungsordnung B nach § 80 SächsBeamtVG eingetreten sind, gilt § 13 Absatz 3 Satz 4 und 5 in der bis zum 31. Dezember 2002 geltenden Fassung. § 69e Absatz 3 Satz 1 und Absatz 4 des Beamtenversorgungsgesetzes in der am 31. Oktober 2007 geltenden Fassung ist entsprechend anzuwenden.</w:t>
      </w:r>
    </w:p>
    <w:p>
      <w:r>
        <w:t xml:space="preserve">(2) Bei der Anwendung von Ruhensvorschriften gilt § 69e Absatz 3 des Beamtenversorgungsgesetzes in der am 31. Oktober 2007 geltenden Fassung sinngemäß.</w:t>
      </w:r>
    </w:p>
    <w:p>
      <w:r>
        <w:t xml:space="preserve">(3) Für am 31. Dezember 2010 vorhandene und ehemalige Mitglieder der Staatsregierung und deren künftige Hinterbliebene gilt § 13 Absatz 1 in der bis zum 31. Dezember 2010 geltenden Fassung.</w:t>
      </w:r>
    </w:p>
    <w:p>
      <w:r>
        <w:rPr>
          <w:color w:val="555555"/>
          <w:sz w:val="17"/>
        </w:rPr>
        <w:t xml:space="preserve">Zitiervorschlag: § 28 SächsMinG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https://recht.nulegal.eu/gesetze/S%C3%A4chsMinG/28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SächsMinG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