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SächsMinG (Sachsen) — Beamtete Staatssekretärinnen und Staatssekretäre</w:t>
      </w:r>
    </w:p>
    <w:p>
      <w:r>
        <w:rPr>
          <w:color w:val="555555"/>
          <w:sz w:val="18"/>
        </w:rPr>
        <w:t xml:space="preserve">Sächsisches Ministergesetz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Rechtsstellung der leitenden Beamtinnen und Beamten, denen die Amtsbezeichnung „Staatssekretärin“ oder „Staatssekretär“ verliehen wurde, regelt sich ausschließlich nach Beamtenrecht.</w:t>
      </w:r>
    </w:p>
    <w:p>
      <w:r>
        <w:rPr>
          <w:color w:val="555555"/>
          <w:sz w:val="17"/>
        </w:rPr>
        <w:t xml:space="preserve">Zitiervorschlag: § 27 SächsMinG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https://recht.nulegal.eu/gesetze/S%C3%A4chsMinG/27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SächsMinG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