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22a SächsMinG (Sachsen) — Entziehung von Versorgungsansprüchen</w:t>
      </w:r>
    </w:p>
    <w:p>
      <w:r>
        <w:rPr>
          <w:color w:val="555555"/>
          <w:sz w:val="18"/>
        </w:rPr>
        <w:t xml:space="preserve">Sächsisches Ministergesetz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als Mitglied der Staatsregierung erworbenen Ansprüche auf Übergangsgeld, Ruhegeld und Altersgeld können in einem Verfahren auf Aberkennung der Mitgliedschaft in der Staatsregierung durch Urteil des Verfassungsgerichtshofes ganz oder teilweise entzogen werden.</w:t>
      </w:r>
    </w:p>
    <w:p>
      <w:r>
        <w:t xml:space="preserve">(2) Die Entziehung umfasst auch die Hinterbliebenenversorgung, soweit der Verfassungsgerichtshof nichts anderes bestimmt.</w:t>
      </w:r>
    </w:p>
    <w:p>
      <w:r>
        <w:rPr>
          <w:color w:val="555555"/>
          <w:sz w:val="17"/>
        </w:rPr>
        <w:t xml:space="preserve">Zitiervorschlag: § 22a SächsMinG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https://recht.nulegal.eu/gesetze/S%C3%A4chsMinG/22a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22a SächsMinG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