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SächsMinG (Sachsen) — Unfallfürsorge</w:t>
      </w:r>
    </w:p>
    <w:p>
      <w:r>
        <w:rPr>
          <w:color w:val="555555"/>
          <w:sz w:val="18"/>
        </w:rPr>
        <w:t xml:space="preserve">Sächsisches Ministergesetz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Wird ein Mitglied der Staatsregierung durch einen Dienstunfall verletzt, so wird ihm und seinen Hinterbliebenen Unfallfürsorge in sinngemäßer Anwendung der für Landesbeamtinnen und Landesbeamte geltenden versorgungsrechtlichen Vorschriften gewährt.</w:t>
      </w:r>
    </w:p>
    <w:p>
      <w:r>
        <w:t xml:space="preserve">(2) Unfälle, die im Zusammenhang mit der Innehabung oder pflichtgemäßen Führung des Amtes oder bei einer aus politischen Rücksichten erfolgten Teilnahme an Veranstaltungen eintreten, gelten im Zweifel als Dienstunfälle.</w:t>
      </w:r>
    </w:p>
    <w:p>
      <w:r>
        <w:rPr>
          <w:color w:val="555555"/>
          <w:sz w:val="17"/>
        </w:rPr>
        <w:t xml:space="preserve">Zitiervorschlag: § 19 SächsMinG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https://recht.nulegal.eu/gesetze/S%C3%A4chsMinG/19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