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SächsMinG (Sachsen) — Unterschiedsbetrag</w:t>
      </w:r>
    </w:p>
    <w:p>
      <w:r>
        <w:rPr>
          <w:color w:val="555555"/>
          <w:sz w:val="18"/>
        </w:rPr>
        <w:t xml:space="preserve">Sächsisches Ministergesetz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(1) Neben Übergangsgeld (§ 12), Ruhegehalt (§ 13) und Altersgeld (§ 14) sowie neben Hinterbliebenenversorgung (§§ 15 bis 17) und Versorgungsansprüchen nach § 19 wird ein nach den für die Versorgungsempfänger des Freistaats geltenden Vorschriften zustehender Unterschiedsbetrag nach § 55 Absatz 2 SächsBeamtVG gewährt.</w:t>
      </w:r>
    </w:p>
    <w:p>
      <w:r>
        <w:t xml:space="preserve">(2) Die Bestimmungen über die Gewährung eines Ausgleichsbetrages zum Waisengeld nach § 56 SächsBeamtVG sind sinngemäß anzuwenden.</w:t>
      </w:r>
    </w:p>
    <w:p>
      <w:r>
        <w:rPr>
          <w:color w:val="555555"/>
          <w:sz w:val="17"/>
        </w:rPr>
        <w:t xml:space="preserve">Zitiervorschlag: § 18 SächsMinG (Sachsen)</w:t>
      </w:r>
    </w:p>
    <w:p>
      <w:r>
        <w:rPr>
          <w:color w:val="555555"/>
          <w:sz w:val="17"/>
        </w:rPr>
        <w:t xml:space="preserve">Quelle: revosax, abgerufen 27.08.2026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https://recht.nulegal.eu/gesetze/S%C3%A4chsMinG/18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