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SächsMinG (Sachsen) — Versorgungsrecht</w:t>
      </w:r>
    </w:p>
    <w:p>
      <w:r>
        <w:rPr>
          <w:color w:val="555555"/>
          <w:sz w:val="18"/>
        </w:rPr>
        <w:t xml:space="preserve">Sächsisches Ministergesetz</w:t>
      </w:r>
    </w:p>
    <w:p>
      <w:r>
        <w:rPr>
          <w:color w:val="555555"/>
          <w:sz w:val="18"/>
        </w:rPr>
        <w:t xml:space="preserve">Landesrecht Sachsen</w:t>
      </w:r>
    </w:p>
    <w:p>
      <w:r>
        <w:rPr>
          <w:color w:val="555555"/>
          <w:sz w:val="18"/>
        </w:rPr>
        <w:t xml:space="preserve">Stand: 27.08.2026 (konsolidierte Textfassung, kein amtliches Inkrafttretensdatum)</w:t>
      </w:r>
    </w:p>
    <w:p>
      <w:r>
        <w:t xml:space="preserve">Die Versorgung der Mitglieder der Staatsregierung und ihrer Hinterbliebenen ist in den folgenden §§ 12 bis 21 geregelt. Zur Ergänzung sind die für die Landesbeamtinnen und Landesbeamten geltenden versorgungsrechtlichen Vorschriften sinngemäß anzuwenden. Den Empfängerinnen und Empfängern von Übergangsgeld, Ruhegehalt, Altersgeld, Witwen- und Waisengeld und Unterhaltsbeitrag stehen in Krankheits-, Pflege-, Geburts- und Todesfällen sowie zur Gesundheitsvorsorge Beihilfen entsprechend den für die Empfängerinnen und Empfänger der vergleichbaren beamtenrechtlichen Bezüge des Freistaats geltenden Vorschriften zu.</w:t>
      </w:r>
    </w:p>
    <w:p>
      <w:r>
        <w:rPr>
          <w:color w:val="555555"/>
          <w:sz w:val="17"/>
        </w:rPr>
        <w:t xml:space="preserve">Zitiervorschlag: § 11 SächsMinG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https://recht.nulegal.eu/gesetze/S%C3%A4chsMinG/11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