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SächsMinG (Sachsen) — Rechtsstellung der Mitglieder der Staatsregierung</w:t>
      </w:r>
    </w:p>
    <w:p>
      <w:r>
        <w:rPr>
          <w:color w:val="555555"/>
          <w:sz w:val="18"/>
        </w:rPr>
        <w:t xml:space="preserve">Sächsisches Ministergesetz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Mitglieder der Staatsregierung sind die Ministerpräsidentin oder der Ministerpräsident, die Staatsministerinnen und Staatsminister und die zu Mitgliedern der Staatsregierung ernannten Staatssekretärinnen und Staatssekretäre.</w:t>
      </w:r>
    </w:p>
    <w:p>
      <w:r>
        <w:t xml:space="preserve">(2) Die Mitglieder der Staatsregierung stehen nach Maßgabe dieses Gesetzes in einem öffentlich-rechtlichen Amtsverhältnis zum Freistaat Sachsen.</w:t>
      </w:r>
    </w:p>
    <w:p>
      <w:r>
        <w:t xml:space="preserve">(3) Wer für das Ministerium für Staatssicherheit oder für das Amt für nationale Sicherheit der DDR tätig war, darf nicht Mitglied der Staatsregierung sein.</w:t>
      </w:r>
    </w:p>
    <w:p>
      <w:r>
        <w:rPr>
          <w:color w:val="555555"/>
          <w:sz w:val="17"/>
        </w:rPr>
        <w:t xml:space="preserve">Zitiervorschlag: § 1 SächsMinG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https://recht.nulegal.eu/gesetze/S%C3%A4chsMinG/1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