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SächsMinEVO (Sachsen)</w:t>
      </w:r>
    </w:p>
    <w:p>
      <w:r>
        <w:rPr>
          <w:color w:val="555555"/>
          <w:sz w:val="18"/>
        </w:rPr>
        <w:t xml:space="preserve">Sächsische Ministerentschädigungsverordnung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des § 10 Absatz 1 Satz 3 und Absatz 2 Satz 2 des Sächsischen Ministergesetzes in der Fassung der Bekanntmachung vom 4. Juli 2000 (SächsGVBl. S. 322) verordnet die Staatsregierung:</w:t>
      </w:r>
    </w:p>
    <w:p>
      <w:r>
        <w:rPr>
          <w:color w:val="555555"/>
          <w:sz w:val="17"/>
        </w:rPr>
        <w:t xml:space="preserve">Zitiervorschlag: Eingangsformel SächsMinEVO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https://recht.nulegal.eu/gesetze/S%C3%A4chsMinEVO/eingangsformel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