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SächsMeldVO (Sachsen) — Automatisiertes Abrufverfahren für die Unfallkasse Sachsen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SAKD darf der Unfallkasse Sachsen</w:t>
      </w:r>
    </w:p>
    <w:p>
      <w:r>
        <w:t xml:space="preserve">1. zur Erfüllung der Aufgaben nach § 1 Nummer 2 des Siebten Buches Sozialgesetzbuch – Gesetzliche Unfallversicherung – (Artikel 1 des Gesetzes vom 7. August 1996, BGBl. I S. 1254), das zuletzt durch Artikel 451 der Verordnung vom 31. August 2015 (BGBl. I S. 1474) geändert worden ist, in der jeweils geltenden Fassung, und</w:t>
      </w:r>
    </w:p>
    <w:p>
      <w:r>
        <w:t xml:space="preserve">2. zur Durchsetzung von Ansprüchen nach § 110 des Siebten Buches Sozialgesetzbuch und § 116 des Zehnten Buches Sozialgesetzbuch – Sozialverwaltungsverfahren und Sozialdatenschutz – in der Fassung der Bekanntmachung vom 18. Januar 2001 (BGBl. I S. 130), das zuletzt durch Artikel 10 des Gesetzes vom 11. August 2014 (BGBl. I S. 1348) geändert worden ist, in der jeweils geltenden Fassung,</w:t>
      </w:r>
    </w:p>
    <w:p>
      <w:r>
        <w:t xml:space="preserve">über die in § 38 Absatz 1 des Bundesmeldegesetzes genannten Daten hinaus die in § 3 Absatz 1 Nummer 3, 7 und 9 Buchstabe a bis d und f des Bundesmeldegesetzes genannten Daten sowie die früheren Anschriften, den Wohnungsstatus und das Ein- und Auszugsdatum durch das automatisierte Abrufverfahren übermitteln.</w:t>
      </w:r>
    </w:p>
    <w:p>
      <w:r>
        <w:rPr>
          <w:color w:val="555555"/>
          <w:sz w:val="17"/>
        </w:rPr>
        <w:t xml:space="preserve">Zitiervorschlag: § 37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https://recht.nulegal.eu/gesetze/S%C3%A4chsMeldVO/37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