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SächsMeldVO (Sachsen) — Automatisiertes Abrufverfahren für die Straßenverkehrsbehörden als Fahrerlaubnis- und Zulassungsbehörden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SAKD darf den Straßenverkehrsbehörden als Fahrerlaubnis- und Zulassungsbehörden zur Erfüllung von Aufgaben, die ihnen durch Rechtsvorschriften übertragen worden sind, über die in § 38 Absatz 1 des Bundesmeldegesetzes genannten Daten hinaus die in § 3 Absatz 1 Nummer 3, 7, 12 und 13 des Bundesmeldegesetzes genannten Daten durch das automatisierte Abrufverfahren übermitteln. Zusätzlich dürfen die Daten des gesetzlichen Vertreters nach § 3 Absatz 1 Nummer 9 Buchstabe a bis d, f und g des Bundesmeldegesetzes übermittelt werden, sofern der Betroffene minderjährig ist.</w:t>
      </w:r>
    </w:p>
    <w:p>
      <w:r>
        <w:rPr>
          <w:color w:val="555555"/>
          <w:sz w:val="17"/>
        </w:rPr>
        <w:t xml:space="preserve">Zitiervorschlag: § 29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https://recht.nulegal.eu/gesetze/S%C3%A4chsMeldVO/29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