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SächsMeldVO (Sachsen) — Protokollierung, Dokumentation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SAKD darf bei automatisierten Abrufen von Meldedaten aus dem SMR über die Daten des § 40 Absatz 1 und 2 des Bundesmeldegesetzes hinaus zur Sicherstellung des Betriebs des SMR die Anzahl der Datenabrufe und der Datenübermittlungen je abrufende Stelle aufzeichnen.</w:t>
      </w:r>
    </w:p>
    <w:p>
      <w:r>
        <w:t xml:space="preserve">(2) Für die Antragsbearbeitung und Gebührenabrechnung darf bei der Wahrnehmung der Aufgaben nach § 2 Absatz 1 Nummer 1 und 4 des Sächsischen Gesetzes zur Ausführung des Bundesmeldegesetzes der Familienname, der Vorname, die Adresse einschließlich des Bundeslandes und des Wohnsitzstaates, die E-Mail-Adresse, soweit vorhanden der Doktorgrad, Bankverbindungsangaben, Kreditkartenangaben und die technischen Authentisierungs- und Identifizierungsdaten des Antragstellers erhoben werden. Bei juristischen Personen ist statt Familienname und Vorname die Bezeichnung der juristischen Person zu erheben.</w:t>
      </w:r>
    </w:p>
    <w:p>
      <w:r>
        <w:rPr>
          <w:color w:val="555555"/>
          <w:sz w:val="17"/>
        </w:rPr>
        <w:t xml:space="preserve">Zitiervorschlag: § 16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