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SächsMedHygVO (Sachsen)</w:t>
      </w:r>
    </w:p>
    <w:p>
      <w:r>
        <w:rPr>
          <w:color w:val="555555"/>
          <w:sz w:val="18"/>
        </w:rPr>
        <w:t xml:space="preserve">Verordnung der Sächsischen Staatsregierung über die Hygiene und Infektionsprävention in medizinischen Einrichtungen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23 Abs. 5 Satz 3 und Abs. 8 des Gesetzes zur Verhütung und Bekämpfung von Infektionskrankheiten beim Menschen ( Infektionsschutzgesetz – IfSG ) vom 20. Juli 2000 (BGBl. I S. 1045), das zuletzt durch Artikel 1 des Gesetzes vom 28. Juli 2011 (BGBl. I S. 1622) geändert worden ist, wird verordnet:</w:t>
      </w:r>
    </w:p>
    <w:p>
      <w:r>
        <w:rPr>
          <w:color w:val="555555"/>
          <w:sz w:val="17"/>
        </w:rPr>
        <w:t xml:space="preserve">Zitiervorschlag: Eingangsformel SächsMedHygVO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https://recht.nulegal.eu/gesetze/S%C3%A4chsMedHygVO/eingangsformel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SächsMedHygVO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