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SächsMarkG (Sachsen) — Anerkennung, Urkunde, Verzeichnis</w:t>
      </w:r>
    </w:p>
    <w:p>
      <w:r>
        <w:rPr>
          <w:color w:val="555555"/>
          <w:sz w:val="18"/>
        </w:rPr>
        <w:t xml:space="preserve">Sächsisches Markscheidergesetz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dem Bescheid über die Anerkennung übermittelt das Sächsische Oberbergamt eine Urkunde über die Anerkennung, soweit die Urkunde nicht nach § 1 des Gesetzes zur Regelung des Verwaltungsverfahrens- und des Verwaltungszustellungsrechts für den Freistaat Sachsen in Verbindung mit § 42a Absatz 1 des Verwaltungsverfahrensgesetzes als erteilt gilt.</w:t>
      </w:r>
    </w:p>
    <w:p>
      <w:r>
        <w:t xml:space="preserve">(2) Das Sächsische Oberbergamt führt ein öffentlich zugängliches Verzeichnis mit den Namen und Anschriften der Niederlassungen aller vom Sächsischen Oberbergamt anerkannten Markscheiderinnen und Markscheider.</w:t>
      </w:r>
    </w:p>
    <w:p>
      <w:r>
        <w:t xml:space="preserve">(3) Das Sächsische Oberbergamt löscht die Eintragung im Verzeichnis, wenn</w:t>
      </w:r>
    </w:p>
    <w:p>
      <w:r>
        <w:t xml:space="preserve">1. die Markscheiderin oder der Markscheider verstorben ist,</w:t>
      </w:r>
    </w:p>
    <w:p>
      <w:r>
        <w:t xml:space="preserve">2. eine in Rechtskraft erwachsene Gerichtsentscheidung im Fall des § 9 Satz 1 oder 2 vorliegt, die Anerkennung widerrufen wurde oder erloschen ist oder die Ausübung der Tätigkeit untersagt wurde,</w:t>
      </w:r>
    </w:p>
    <w:p>
      <w:r>
        <w:t xml:space="preserve">3. für zwei Jahre in Folge der Bericht nach § 14 Nummer 4 der Markscheider-Bergverordnung in der Fassung der Bekanntmachung vom 21. Juli 2020 (BGBl. I S. 1702), in der jeweils geltenden Fassung, schuldhaft nicht bei dem Sächsischen Oberbergamt eingereicht wurde oder</w:t>
      </w:r>
    </w:p>
    <w:p>
      <w:r>
        <w:t xml:space="preserve">4. keine Anzeige nach § 4 Absatz 3 Satz 1 erfolgt ist.</w:t>
      </w:r>
    </w:p>
    <w:p>
      <w:r>
        <w:t xml:space="preserve">Die Löschung nach Satz 1 Nummer 2 bis 4 ist der oder dem Betroffenen vorher mitzuteilen.</w:t>
      </w:r>
    </w:p>
    <w:p>
      <w:r>
        <w:rPr>
          <w:color w:val="555555"/>
          <w:sz w:val="17"/>
        </w:rPr>
        <w:t xml:space="preserve">Zitiervorschlag: § 7 SächsMarkG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https://recht.nulegal.eu/gesetze/S%C3%A4chsMarkG/7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