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SächsMarkG (Sachsen) — Voraussetzungen für die Anerkennung</w:t>
      </w:r>
    </w:p>
    <w:p>
      <w:r>
        <w:rPr>
          <w:color w:val="555555"/>
          <w:sz w:val="18"/>
        </w:rPr>
        <w:t xml:space="preserve">Sächsisches Markscheidergesetz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Anerkennung als Markscheiderin oder Markscheider ist Personen zu erteilen, die die Befähigung für die zweite Einstiegsebene der Laufbahngruppe 2 der Fachrichtung Naturwissenschaft und Technik mit dem fachlichen Schwerpunkt technischer Verwaltungsdienst besitzen und die Staatsprüfung im Markscheidefach bestanden haben.</w:t>
      </w:r>
    </w:p>
    <w:p>
      <w:r>
        <w:t xml:space="preserve">(2) Die Anerkennung als Markscheiderin oder Markscheider wird auch Personen erteilt, die nach Maßgabe des Sächsischen Berufsqualifikationsfeststellungsgesetzes vom 17. Dezember 2013 (SächsGVBl. S. 874), das zuletzt durch Artikel 1 des Gesetzes vom 22. Juli 2024 (SächsGVBl. S. 733) geändert worden ist, in der jeweils geltenden Fassung, eine im Ausland erworbene gleichwertige Berufsqualifikation nachgewiesen haben.</w:t>
      </w:r>
    </w:p>
    <w:p>
      <w:r>
        <w:t xml:space="preserve">(3) Für Anerkennungen nach Absatz 2 findet Teil 2 Abschnitt 2 und 3 des Sächsischen Berufsqualifikationsfeststellungsgesetzes entsprechende Anwendung, soweit dieses Gesetz keine Regelungen trifft. Für Anerkennungen nach Absatz 2 gilt ferner § 16 des Sächsischen Berufsqualifikationsfeststellungsgesetzes entsprechend.</w:t>
      </w:r>
    </w:p>
    <w:p>
      <w:r>
        <w:t xml:space="preserve">(4) Die Anerkennung ist zu versagen, wenn die oder der Antragstellende</w:t>
      </w:r>
    </w:p>
    <w:p>
      <w:r>
        <w:t xml:space="preserve">1. die für die Tätigkeit einer Markscheiderin oder eines Markscheiders erforderliche Zuverlässigkeit nicht besitzt, oder</w:t>
      </w:r>
    </w:p>
    <w:p>
      <w:r>
        <w:t xml:space="preserve">2. infolge einer Schwäche der körperlichen oder geistigen Kräfte zur Ausübung der Tätigkeit dauernd unfähig ist.</w:t>
      </w:r>
    </w:p>
    <w:p>
      <w:r>
        <w:rPr>
          <w:color w:val="555555"/>
          <w:sz w:val="17"/>
        </w:rPr>
        <w:t xml:space="preserve">Zitiervorschlag: § 2 SächsMarkG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https://recht.nulegal.eu/gesetze/S%C3%A4chsMarkG/2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