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SächsMPBVO (Sachsen) — Begründung</w:t>
      </w:r>
    </w:p>
    <w:p>
      <w:r>
        <w:rPr>
          <w:color w:val="555555"/>
          <w:sz w:val="18"/>
        </w:rPr>
        <w:t xml:space="preserve">Sächsische Mietpreisbegrenzungsverordnung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I</w:t>
      </w:r>
    </w:p>
    <w:p>
      <w:r>
        <w:t xml:space="preserve">Teil II</w:t>
      </w:r>
    </w:p>
    <w:p>
      <w:r>
        <w:rPr>
          <w:color w:val="555555"/>
          <w:sz w:val="17"/>
        </w:rPr>
        <w:t xml:space="preserve">Zitiervorschlag: Volltext SächsMPBVO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https://recht.nulegal.eu/gesetze/S%C3%A4chsMPBVO/volltext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