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SächsMPBVO (Sachsen)</w:t>
      </w:r>
    </w:p>
    <w:p>
      <w:r>
        <w:rPr>
          <w:color w:val="555555"/>
          <w:sz w:val="18"/>
        </w:rPr>
        <w:t xml:space="preserve">Sächsische Mietpreisbegrenzungsverordnung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Sächsische Staatsregierung verordnet aufgrund des § 556d Absatz 2 Satz 1 bis 3 des Bürgerlichen Gesetzbuches in der Fassung der Bekanntmachung vom 2. Januar 2002 (BGBl. I S. 42, 2909; 2003 I. S. 738), das zuletzt durch Artikel 1 des Gesetzes vom 17. Juli 2025 (BGBl. 2025 I Nr. 163) geändert worden ist:</w:t>
      </w:r>
    </w:p>
    <w:p>
      <w:r>
        <w:rPr>
          <w:color w:val="555555"/>
          <w:sz w:val="17"/>
        </w:rPr>
        <w:t xml:space="preserve">Zitiervorschlag: Eingangsformel SächsMPBVO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https://recht.nulegal.eu/gesetze/S%C3%A4chsMPBVO/eingangsformel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