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SächsMPBVO (Sachsen) — Inkrafttreten</w:t>
      </w:r>
    </w:p>
    <w:p>
      <w:r>
        <w:rPr>
          <w:color w:val="555555"/>
          <w:sz w:val="18"/>
        </w:rPr>
        <w:t xml:space="preserve">Sächsische Mietpreisbegrenzungsverordnung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2026 in Kraft.</w:t>
      </w:r>
    </w:p>
    <w:p>
      <w:r>
        <w:t xml:space="preserve">Dresden, den 2. Dezember 2025</w:t>
      </w:r>
    </w:p>
    <w:p>
      <w:r>
        <w:t xml:space="preserve">Der Ministerpräsident</w:t>
      </w:r>
    </w:p>
    <w:p>
      <w:r>
        <w:t xml:space="preserve">Michael Kretschmer</w:t>
      </w:r>
    </w:p>
    <w:p>
      <w:r>
        <w:t xml:space="preserve">Die Staatsministerin für Infrastruktur und Landesentwicklung</w:t>
      </w:r>
    </w:p>
    <w:p>
      <w:r>
        <w:t xml:space="preserve">Regina Kraushaar</w:t>
      </w:r>
    </w:p>
    <w:p>
      <w:r>
        <w:rPr>
          <w:color w:val="555555"/>
          <w:sz w:val="17"/>
        </w:rPr>
        <w:t xml:space="preserve">Zitiervorschlag: § 3 SächsMPBVO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https://recht.nulegal.eu/gesetze/S%C3%A4chsMPBVO/3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