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SächsMPBVO (Sachsen) — Außerkrafttreten</w:t>
      </w:r>
    </w:p>
    <w:p>
      <w:r>
        <w:rPr>
          <w:color w:val="555555"/>
          <w:sz w:val="18"/>
        </w:rPr>
        <w:t xml:space="preserve">Sächsische Mietpreisbegrenzungsverordnung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Ablauf des 30. Juni 2027 außer Kraft.</w:t>
      </w:r>
    </w:p>
    <w:p>
      <w:r>
        <w:rPr>
          <w:color w:val="555555"/>
          <w:sz w:val="17"/>
        </w:rPr>
        <w:t xml:space="preserve">Zitiervorschlag: § 2 SächsMPBVO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https://recht.nulegal.eu/gesetze/S%C3%A4chsMPBVO/2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