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SächsMPBVO (Sachsen) — Anwendungsbereich</w:t>
      </w:r>
    </w:p>
    <w:p>
      <w:r>
        <w:rPr>
          <w:color w:val="555555"/>
          <w:sz w:val="18"/>
        </w:rPr>
        <w:t xml:space="preserve">Sächsische Mietpreisbegrenzungsverordnung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Landeshauptstadt Dresden und die Kreisfreie Stadt Leipzig sind Gebiete mit angespannten Wohnungsmärkten im Sinne des § 556d Absatz 2 Satz 2 des Bürgerlichen Gesetzbuches , in denen die ausreichende Versorgung der Bevölkerung mit Mietwohnungen zu angemessenen Bedingungen besonders gefährdet ist.</w:t>
      </w:r>
    </w:p>
    <w:p>
      <w:r>
        <w:rPr>
          <w:color w:val="555555"/>
          <w:sz w:val="17"/>
        </w:rPr>
        <w:t xml:space="preserve">Zitiervorschlag: § 1 SächsMPBVO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https://recht.nulegal.eu/gesetze/S%C3%A4chsMPBVO/1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