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SächsLernmitZVO (Sachsen) — Eigenverantwortung des Lehrers</w:t>
      </w:r>
    </w:p>
    <w:p>
      <w:r>
        <w:rPr>
          <w:color w:val="555555"/>
          <w:sz w:val="18"/>
        </w:rPr>
        <w:t xml:space="preserve">Sächsische Lernmittelzulassungsverordnung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Zulassungsfreie Lernmittel müssen den Anforderungen gemäß § 4 Absatz 1 entsprechen. Die Verantwortung dafür trägt der Lehrer.</w:t>
      </w:r>
    </w:p>
    <w:p>
      <w:r>
        <w:rPr>
          <w:color w:val="555555"/>
          <w:sz w:val="17"/>
        </w:rPr>
        <w:t xml:space="preserve">Zitiervorschlag: § 3 SächsLernmitZVO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https://recht.nulegal.eu/gesetze/S%C3%A4chsLernmitZVO/3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