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SächsLastG (Sachsen)</w:t>
      </w:r>
    </w:p>
    <w:p>
      <w:r>
        <w:rPr>
          <w:color w:val="555555"/>
          <w:sz w:val="18"/>
        </w:rPr>
        <w:t xml:space="preserve">Sächsisches Lastentragungsgesetz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Januar 2008</w:t>
      </w:r>
    </w:p>
    <w:p>
      <w:r>
        <w:rPr>
          <w:color w:val="555555"/>
          <w:sz w:val="17"/>
        </w:rPr>
        <w:t xml:space="preserve">Zitiervorschlag: Eingangsformel SächsLastG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https://recht.nulegal.eu/gesetze/S%C3%A4chsLastG/eingangsformel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