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SächsLastG (Sachsen) — Rückerstattung</w:t>
      </w:r>
    </w:p>
    <w:p>
      <w:r>
        <w:rPr>
          <w:color w:val="555555"/>
          <w:sz w:val="18"/>
        </w:rPr>
        <w:t xml:space="preserve">Sächsisches Lastentragungsgesetz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von den Landkreisen und Kreisfreien Städten zu tragenden Lasten verringern sich in der Höhe, in welcher der Bund dem Freistaat Sachsen die gemäß Artikel 104a Abs. 6 Satz 3 Halbsatz 2 des Grundgesetzes in Verbindung mit § 2 Abs. 2 Satz 1 Nr. 3 LastG oder gemäß Artikel 104a Abs. 6 Satz 1 des Grundgesetzes in Verbindung mit § 1 LastG aufgewendeten Beträge zurückerstattet. Die anteilig auf einen Landkreis oder eine Kreisfreie Stadt entfallende Minderung bemisst sich nach dem Verhältnis der Lastentragung. Ohne rechtlichen Grund nach § 2 gekürzte oder erstattete Beträge sind zurückzugewähren.</w:t>
      </w:r>
    </w:p>
    <w:p>
      <w:r>
        <w:rPr>
          <w:color w:val="555555"/>
          <w:sz w:val="17"/>
        </w:rPr>
        <w:t xml:space="preserve">Zitiervorschlag: § 3 SächsLastG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https://recht.nulegal.eu/gesetze/S%C3%A4chsLastG/3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