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SächsLastG (Sachsen) — Kürzung und Erstattung</w:t>
      </w:r>
    </w:p>
    <w:p>
      <w:r>
        <w:rPr>
          <w:color w:val="555555"/>
          <w:sz w:val="18"/>
        </w:rPr>
        <w:t xml:space="preserve">Sächsisches Lastentragungsgesetz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ist berechtigt, Finanzzuweisungen zur Durchführung des betroffenen Förderprogramms in Höhe der vom Freistaat Sachsen gegenüber dem Bund aufgewendeten Beträge im Verhältnis der jeweiligen Lastentragung nach § 1 zu kürzen. Wenn im betroffenen Förderprogramm keine Finanzzuweisungen mehr ausstehen, sind die Landkreise und Kreisfreien Städte verpflichtet, dem Freistaat Sachsen die gegenüber dem Bund aufgewendeten Beträge im Verhältnis der jeweiligen Lastentragung nach § 1 zu erstatten.</w:t>
      </w:r>
    </w:p>
    <w:p>
      <w:r>
        <w:t xml:space="preserve">(2) Der Anspruch des Freistaates Sachsen entsteht in dem Zeitpunkt, in dem er seine Leistungspflicht gegenüber dem Bund erfüllt.</w:t>
      </w:r>
    </w:p>
    <w:p>
      <w:r>
        <w:rPr>
          <w:color w:val="555555"/>
          <w:sz w:val="17"/>
        </w:rPr>
        <w:t xml:space="preserve">Zitiervorschlag: § 2 SächsLastG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https://recht.nulegal.eu/gesetze/S%C3%A4chsLastG/2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