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 SächsLZahnarztG (Sachsen) — Besonderer öffentlicher Bedarf in der zahnärztlichen Versorgung</w:t>
      </w:r>
    </w:p>
    <w:p>
      <w:r>
        <w:rPr>
          <w:color w:val="555555"/>
          <w:sz w:val="18"/>
        </w:rPr>
        <w:t xml:space="preserve">Sächsisches Landzahnarztgesetz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Ein besonderer öffentlicher Bedarf in der zahnärztlichen Versorgung besteht in den Gebieten, für die gemäß den aktuellen Feststellungen des Landesausschusses der Zahnärzte und Krankenkassen Sachsen nach § 90 Absatz 1 Satz 1 in Verbindung mit § 100 Absatz 1 Satz 1 in Verbindung mit Absatz 3 des Fünften Buches Sozialgesetzbuch , in der jeweils geltenden Fassung, eine eingetretene oder drohende Unterversorgung oder ein zusätzlicher lokaler Versorgungsbedarf festgestellt wurde.</w:t>
      </w:r>
    </w:p>
    <w:p>
      <w:r>
        <w:rPr>
          <w:color w:val="555555"/>
          <w:sz w:val="17"/>
        </w:rPr>
        <w:t xml:space="preserve">Zitiervorschlag: § 3 SächsLZahnarztG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https://recht.nulegal.eu/gesetze/S%C3%A4chsLZahnarztG/3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 SächsLZahnarztG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