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SächsLVO (Sachsen) — Anrechnung von Ausbildungs- und Beschäftigungszeiten</w:t>
      </w:r>
    </w:p>
    <w:p>
      <w:r>
        <w:rPr>
          <w:color w:val="555555"/>
          <w:sz w:val="18"/>
        </w:rPr>
        <w:t xml:space="preserve">Sächsische Laufbahnverordnung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Ausbildungs- und Beschäftigungszeiten dürfen nur dann auf die praktische oder theoretische Ausbildung im Vorbereitungsdienst angerechnet werden, wenn sie nicht Voraussetzung für die Einstellung in den Vorbereitungsdienst sind.</w:t>
      </w:r>
    </w:p>
    <w:p>
      <w:r>
        <w:rPr>
          <w:color w:val="555555"/>
          <w:sz w:val="17"/>
        </w:rPr>
        <w:t xml:space="preserve">Zitiervorschlag: § 7 SächsLVO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https://recht.nulegal.eu/gesetze/S%C3%A4chsLVO/7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