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42 SächsLVO (Sachsen) — Übergangsvorschrift für die Führungskräftefortbildung</w:t>
      </w:r>
    </w:p>
    <w:p>
      <w:r>
        <w:rPr>
          <w:color w:val="555555"/>
          <w:sz w:val="18"/>
        </w:rPr>
        <w:t xml:space="preserve">Sächsische Laufbahnverordnung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Beamtinnen und Beamte, die im Zeitpunkt des Inkrafttretens dieser Verordnung bereits über langjährige Führungserfahrung verfügen, können von der obersten Dienstbehörde ganz oder teilweise von den Anforderungen des § 23 Absatz 1 und 2 befreit werden. Die oberste Dienstbehörde kann diese Befugnis auf nachgeordnete Behörden übertragen.</w:t>
      </w:r>
    </w:p>
    <w:p>
      <w:r>
        <w:rPr>
          <w:color w:val="555555"/>
          <w:sz w:val="17"/>
        </w:rPr>
        <w:t xml:space="preserve">Zitiervorschlag: § 42 SächsLVO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https://recht.nulegal.eu/gesetze/S%C3%A4chsLVO/42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42 SächsLVO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