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 SächsLVO (Sachsen) — Abschlussprüfungen in der Fachrichtung Polizei vor Inkrafttreten dieser Verordnung</w:t>
      </w:r>
    </w:p>
    <w:p>
      <w:r>
        <w:rPr>
          <w:color w:val="555555"/>
          <w:sz w:val="18"/>
        </w:rPr>
        <w:t xml:space="preserve">Sächsische Laufbahnverordnung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Beamtinnen und Beamte, die vor Inkrafttreten dieser Verordnung bei der sächsischen Bereitschaftspolizei, dem Aufbaustab Fachhochschule für Polizei Sachsen oder der Polizei-Führungsakademie Abschlussprüfungen erfolgreich abgelegt haben, haben damit die Befähigung für die jeweilige Einstiegsebene der Laufbahnen der Fachrichtung Polizei erworben.</w:t>
      </w:r>
    </w:p>
    <w:p>
      <w:r>
        <w:rPr>
          <w:color w:val="555555"/>
          <w:sz w:val="17"/>
        </w:rPr>
        <w:t xml:space="preserve">Zitiervorschlag: § 34 SächsLVO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https://recht.nulegal.eu/gesetze/S%C3%A4chsLVO/34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 SächsLVO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